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2AA7" w14:textId="6DF7299F" w:rsidR="00087E4E" w:rsidRDefault="00087E4E"/>
    <w:p w14:paraId="3E04BA9D" w14:textId="537B9D06" w:rsidR="00087E4E" w:rsidRDefault="00087E4E">
      <w:pPr>
        <w:rPr>
          <w:rFonts w:ascii="Times New Roman" w:hAnsi="Times New Roman" w:cs="Times New Roman"/>
          <w:b/>
          <w:bCs/>
          <w:sz w:val="29"/>
          <w:szCs w:val="29"/>
        </w:rPr>
      </w:pPr>
      <w:r w:rsidRPr="00087E4E">
        <w:rPr>
          <w:rFonts w:ascii="Times New Roman" w:hAnsi="Times New Roman" w:cs="Times New Roman"/>
          <w:b/>
          <w:bCs/>
          <w:sz w:val="29"/>
          <w:szCs w:val="29"/>
        </w:rPr>
        <w:t>Taux de marge et taux d’autofinancement des sociétés non financières</w:t>
      </w:r>
    </w:p>
    <w:p w14:paraId="4843CE7D" w14:textId="6C556D0C" w:rsidR="00087E4E" w:rsidRDefault="00087E4E">
      <w:pPr>
        <w:rPr>
          <w:rFonts w:ascii="Times New Roman" w:hAnsi="Times New Roman" w:cs="Times New Roman"/>
          <w:b/>
          <w:bCs/>
          <w:sz w:val="29"/>
          <w:szCs w:val="29"/>
        </w:rPr>
      </w:pPr>
    </w:p>
    <w:p w14:paraId="244544D2" w14:textId="134F75A0" w:rsidR="00087E4E" w:rsidRDefault="00087E4E">
      <w:pPr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noProof/>
        </w:rPr>
        <w:drawing>
          <wp:inline distT="0" distB="0" distL="0" distR="0" wp14:anchorId="6A604347" wp14:editId="0A01F7ED">
            <wp:extent cx="3524250" cy="1504950"/>
            <wp:effectExtent l="0" t="0" r="0" b="0"/>
            <wp:docPr id="1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nombre, Polic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4CFEF" w14:textId="77777777" w:rsidR="00087E4E" w:rsidRDefault="00087E4E" w:rsidP="00087E4E">
      <w:r>
        <w:rPr>
          <w:noProof/>
        </w:rPr>
        <w:drawing>
          <wp:inline distT="0" distB="0" distL="0" distR="0" wp14:anchorId="51C9ECCC" wp14:editId="4A8E3A4E">
            <wp:extent cx="4572000" cy="2743200"/>
            <wp:effectExtent l="0" t="0" r="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ECEF4B" w14:textId="77777777" w:rsidR="00087E4E" w:rsidRPr="00087E4E" w:rsidRDefault="00087E4E">
      <w:pPr>
        <w:rPr>
          <w:rFonts w:ascii="Times New Roman" w:hAnsi="Times New Roman" w:cs="Times New Roman"/>
        </w:rPr>
      </w:pPr>
    </w:p>
    <w:sectPr w:rsidR="00087E4E" w:rsidRPr="00087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4E"/>
    <w:rsid w:val="0005679B"/>
    <w:rsid w:val="0008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33B0"/>
  <w15:chartTrackingRefBased/>
  <w15:docId w15:val="{2B11B09E-7495-45AB-A908-E3F09E8D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fr-FR" sz="1400" b="0" i="0" u="none" strike="noStrike" kern="1200" spc="0" baseline="0">
                <a:solidFill>
                  <a:srgbClr val="595959"/>
                </a:solidFill>
                <a:latin typeface="Calibri"/>
              </a:defRPr>
            </a:pPr>
            <a:r>
              <a:rPr lang="fr-FR" sz="1400" b="0" i="0" u="none" strike="noStrike" kern="1200" cap="none" spc="0" baseline="0">
                <a:solidFill>
                  <a:srgbClr val="595959"/>
                </a:solidFill>
                <a:uFillTx/>
                <a:latin typeface="Calibri"/>
              </a:rPr>
              <a:t>Taux de marge et d'autofinancement des SNF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Taux de marge</c:v>
          </c:tx>
          <c:spPr>
            <a:ln w="28575" cap="rnd">
              <a:solidFill>
                <a:srgbClr val="4472C4">
                  <a:alpha val="0"/>
                </a:srgbClr>
              </a:solidFill>
              <a:prstDash val="solid"/>
              <a:round/>
            </a:ln>
          </c:spPr>
          <c:marker>
            <c:symbol val="none"/>
          </c:marker>
          <c:cat>
            <c:numLit>
              <c:formatCode>General</c:formatCode>
              <c:ptCount val="5"/>
              <c:pt idx="0">
                <c:v>2017</c:v>
              </c:pt>
              <c:pt idx="1">
                <c:v>2018</c:v>
              </c:pt>
              <c:pt idx="2">
                <c:v>2019</c:v>
              </c:pt>
              <c:pt idx="3">
                <c:v>2020</c:v>
              </c:pt>
              <c:pt idx="4">
                <c:v>2021</c:v>
              </c:pt>
            </c:numLit>
          </c:cat>
          <c:val>
            <c:numLit>
              <c:formatCode>General</c:formatCode>
              <c:ptCount val="5"/>
              <c:pt idx="0">
                <c:v>31.7</c:v>
              </c:pt>
              <c:pt idx="1">
                <c:v>31.5</c:v>
              </c:pt>
              <c:pt idx="2">
                <c:v>33.299999999999997</c:v>
              </c:pt>
              <c:pt idx="3">
                <c:v>31.8</c:v>
              </c:pt>
              <c:pt idx="4">
                <c:v>34.299999999999997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BCDB-42D2-B51D-298E0F6BD3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5978448"/>
        <c:axId val="525977728"/>
      </c:lineChart>
      <c:lineChart>
        <c:grouping val="standard"/>
        <c:varyColors val="0"/>
        <c:ser>
          <c:idx val="1"/>
          <c:order val="1"/>
          <c:tx>
            <c:v>Taux d'autofinancement</c:v>
          </c:tx>
          <c:spPr>
            <a:ln w="28575" cap="rnd">
              <a:solidFill>
                <a:srgbClr val="4472C4">
                  <a:alpha val="0"/>
                </a:srgbClr>
              </a:solidFill>
              <a:prstDash val="solid"/>
              <a:round/>
            </a:ln>
          </c:spPr>
          <c:marker>
            <c:symbol val="none"/>
          </c:marker>
          <c:cat>
            <c:numLit>
              <c:formatCode>General</c:formatCode>
              <c:ptCount val="5"/>
              <c:pt idx="0">
                <c:v>2017</c:v>
              </c:pt>
              <c:pt idx="1">
                <c:v>2018</c:v>
              </c:pt>
              <c:pt idx="2">
                <c:v>2019</c:v>
              </c:pt>
              <c:pt idx="3">
                <c:v>2020</c:v>
              </c:pt>
              <c:pt idx="4">
                <c:v>2021</c:v>
              </c:pt>
            </c:numLit>
          </c:cat>
          <c:val>
            <c:numLit>
              <c:formatCode>General</c:formatCode>
              <c:ptCount val="5"/>
              <c:pt idx="0">
                <c:v>96.2</c:v>
              </c:pt>
              <c:pt idx="1">
                <c:v>91.9</c:v>
              </c:pt>
              <c:pt idx="2">
                <c:v>97.1</c:v>
              </c:pt>
              <c:pt idx="3">
                <c:v>88.8</c:v>
              </c:pt>
              <c:pt idx="4">
                <c:v>105.3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BCDB-42D2-B51D-298E0F6BD3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7255208"/>
        <c:axId val="525979168"/>
      </c:lineChart>
      <c:valAx>
        <c:axId val="525977728"/>
        <c:scaling>
          <c:orientation val="minMax"/>
        </c:scaling>
        <c:delete val="0"/>
        <c:axPos val="l"/>
        <c:majorGridlines>
          <c:spPr>
            <a:ln w="9528" cap="flat">
              <a:solidFill>
                <a:srgbClr val="D9D9D9"/>
              </a:solidFill>
              <a:prstDash val="solid"/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fr-FR" sz="900" b="0" i="0" u="none" strike="noStrike" kern="1200" baseline="0">
                <a:solidFill>
                  <a:srgbClr val="595959"/>
                </a:solidFill>
                <a:latin typeface="Calibri"/>
              </a:defRPr>
            </a:pPr>
            <a:endParaRPr lang="fr-FR"/>
          </a:p>
        </c:txPr>
        <c:crossAx val="525978448"/>
        <c:crosses val="autoZero"/>
        <c:crossBetween val="between"/>
      </c:valAx>
      <c:catAx>
        <c:axId val="525978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8" cap="flat">
            <a:solidFill>
              <a:srgbClr val="D9D9D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fr-FR" sz="900" b="0" i="0" u="none" strike="noStrike" kern="1200" baseline="0">
                <a:solidFill>
                  <a:srgbClr val="595959"/>
                </a:solidFill>
                <a:latin typeface="Calibri"/>
              </a:defRPr>
            </a:pPr>
            <a:endParaRPr lang="fr-FR"/>
          </a:p>
        </c:txPr>
        <c:crossAx val="525977728"/>
        <c:crosses val="autoZero"/>
        <c:auto val="1"/>
        <c:lblAlgn val="ctr"/>
        <c:lblOffset val="100"/>
        <c:noMultiLvlLbl val="0"/>
      </c:catAx>
      <c:valAx>
        <c:axId val="525979168"/>
        <c:scaling>
          <c:orientation val="minMax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fr-FR" sz="900" b="0" i="0" u="none" strike="noStrike" kern="1200" baseline="0">
                <a:solidFill>
                  <a:srgbClr val="595959"/>
                </a:solidFill>
                <a:latin typeface="Calibri"/>
              </a:defRPr>
            </a:pPr>
            <a:endParaRPr lang="fr-FR"/>
          </a:p>
        </c:txPr>
        <c:crossAx val="757255208"/>
        <c:crosses val="max"/>
        <c:crossBetween val="between"/>
      </c:valAx>
      <c:catAx>
        <c:axId val="75725520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25979168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fr-FR" sz="1000" b="0" i="0" u="none" strike="noStrike" kern="1200" baseline="0">
          <a:solidFill>
            <a:srgbClr val="000000"/>
          </a:solidFill>
          <a:latin typeface="Calibri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eate a new document." ma:contentTypeScope="" ma:versionID="cc6c0683e64860968da5c02b1d081f4f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412bed90badcad98a9aaf4c42995ec79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37000A-9683-4F3B-B3DD-E7C074276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d91ab-b3e0-4f65-b993-9c0a5c32c107"/>
    <ds:schemaRef ds:uri="58406d76-6540-444f-9ea2-cbfbf434c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10344-F353-446F-B466-7CAF4C19F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E3784-1418-4DC5-A644-FDC3F59B5BB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406d76-6540-444f-9ea2-cbfbf434caae"/>
    <ds:schemaRef ds:uri="cfbd91ab-b3e0-4f65-b993-9c0a5c32c1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1</cp:revision>
  <dcterms:created xsi:type="dcterms:W3CDTF">2023-05-15T07:28:00Z</dcterms:created>
  <dcterms:modified xsi:type="dcterms:W3CDTF">2023-05-15T07:31:00Z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</Properties>
</file>